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B7" w:rsidRPr="001824B7" w:rsidRDefault="001824B7" w:rsidP="001824B7">
      <w:pPr>
        <w:adjustRightInd/>
        <w:snapToGrid/>
        <w:spacing w:after="0" w:line="600" w:lineRule="atLeast"/>
        <w:jc w:val="center"/>
        <w:outlineLvl w:val="0"/>
        <w:rPr>
          <w:rFonts w:ascii="微软雅黑" w:hAnsi="微软雅黑" w:cs="宋体"/>
          <w:b/>
          <w:bCs/>
          <w:color w:val="000000"/>
          <w:kern w:val="36"/>
          <w:sz w:val="36"/>
          <w:szCs w:val="36"/>
        </w:rPr>
      </w:pPr>
      <w:r w:rsidRPr="001824B7">
        <w:rPr>
          <w:rFonts w:ascii="微软雅黑" w:hAnsi="微软雅黑" w:cs="宋体" w:hint="eastAsia"/>
          <w:b/>
          <w:bCs/>
          <w:color w:val="000000"/>
          <w:kern w:val="36"/>
          <w:sz w:val="36"/>
          <w:szCs w:val="36"/>
        </w:rPr>
        <w:t>工业和信息化部办公厅关于调整《民用爆炸物品专用生产设备目录》管理方式的通知</w:t>
      </w:r>
    </w:p>
    <w:p w:rsidR="001824B7" w:rsidRDefault="001824B7" w:rsidP="001824B7">
      <w:pPr>
        <w:adjustRightInd/>
        <w:snapToGrid/>
        <w:spacing w:after="0"/>
        <w:jc w:val="right"/>
        <w:rPr>
          <w:rFonts w:ascii="仿宋_GB2312" w:eastAsia="仿宋_GB2312" w:hAnsi="宋体" w:cs="宋体" w:hint="eastAsia"/>
          <w:color w:val="070707"/>
          <w:sz w:val="32"/>
          <w:szCs w:val="32"/>
        </w:rPr>
      </w:pPr>
    </w:p>
    <w:p w:rsidR="001824B7" w:rsidRDefault="001824B7" w:rsidP="001824B7">
      <w:pPr>
        <w:adjustRightInd/>
        <w:snapToGrid/>
        <w:spacing w:after="0"/>
        <w:jc w:val="right"/>
        <w:rPr>
          <w:rFonts w:ascii="仿宋_GB2312" w:eastAsia="仿宋_GB2312" w:hAnsi="宋体" w:cs="宋体" w:hint="eastAsia"/>
          <w:color w:val="070707"/>
          <w:sz w:val="32"/>
          <w:szCs w:val="32"/>
        </w:rPr>
      </w:pPr>
    </w:p>
    <w:p w:rsidR="001824B7" w:rsidRPr="001824B7" w:rsidRDefault="001824B7" w:rsidP="001824B7">
      <w:pPr>
        <w:adjustRightInd/>
        <w:snapToGrid/>
        <w:spacing w:after="0"/>
        <w:jc w:val="right"/>
        <w:rPr>
          <w:rFonts w:ascii="宋体" w:eastAsia="宋体" w:hAnsi="宋体" w:cs="宋体"/>
          <w:color w:val="070707"/>
          <w:sz w:val="21"/>
          <w:szCs w:val="21"/>
        </w:rPr>
      </w:pPr>
      <w:r w:rsidRPr="001824B7">
        <w:rPr>
          <w:rFonts w:ascii="仿宋_GB2312" w:eastAsia="仿宋_GB2312" w:hAnsi="宋体" w:cs="宋体" w:hint="eastAsia"/>
          <w:color w:val="070707"/>
          <w:sz w:val="32"/>
          <w:szCs w:val="32"/>
        </w:rPr>
        <w:t>工信厅安全【2016】10号</w:t>
      </w:r>
    </w:p>
    <w:p w:rsidR="001824B7" w:rsidRPr="001824B7" w:rsidRDefault="001824B7" w:rsidP="001824B7">
      <w:pPr>
        <w:adjustRightInd/>
        <w:snapToGrid/>
        <w:spacing w:after="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各省、自治区、直辖市民爆行业主管部门：</w:t>
      </w:r>
    </w:p>
    <w:p w:rsidR="001824B7" w:rsidRPr="001824B7" w:rsidRDefault="001824B7" w:rsidP="001824B7">
      <w:pPr>
        <w:adjustRightInd/>
        <w:snapToGrid/>
        <w:spacing w:after="0"/>
        <w:ind w:firstLine="64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为落实国务院关于推进简政放权、放管结合、优化服务的要求，进一步加强对民爆专用生产设备的管理，促进民爆行业技术创新和科技成果推广应用，经研究，对《民用爆炸物品专用生产设备目录》（以下简称《目录》）的管理方式进行相应调整，现将具体事项通知如下：</w:t>
      </w:r>
    </w:p>
    <w:p w:rsidR="001824B7" w:rsidRPr="001824B7" w:rsidRDefault="001824B7" w:rsidP="001824B7">
      <w:pPr>
        <w:adjustRightInd/>
        <w:snapToGrid/>
        <w:spacing w:after="0"/>
        <w:ind w:firstLine="64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一、我部将根据专用生产设备的危险等级、使用场所的危险程度、技术发展及安全生产情况，发布《目录》并及时修订。</w:t>
      </w:r>
    </w:p>
    <w:p w:rsidR="001824B7" w:rsidRPr="001824B7" w:rsidRDefault="001824B7" w:rsidP="001824B7">
      <w:pPr>
        <w:adjustRightInd/>
        <w:snapToGrid/>
        <w:spacing w:after="0"/>
        <w:ind w:firstLine="64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二、原则上将《民用爆炸物品专用生产设备安全使用年限管理规定》（WJ 9063）界定的0、Ⅰ、Ⅱ类专用生产设备、现场混装炸药车和移动式炸药生产地面站等纳入《目录》管理。但已布置在抗爆间室或抗爆防护装置内、实现人机隔离作业的专用生产设备，以及实现了无人化生产的生产线上专用生产设备，不再纳入《目录》管理。</w:t>
      </w:r>
    </w:p>
    <w:p w:rsidR="001824B7" w:rsidRPr="001824B7" w:rsidRDefault="001824B7" w:rsidP="001824B7">
      <w:pPr>
        <w:adjustRightInd/>
        <w:snapToGrid/>
        <w:spacing w:after="0"/>
        <w:ind w:firstLine="64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三、《目录》所涉及的专用生产设备，必须符合如下要求，方可在民爆物品生产中使用。</w:t>
      </w:r>
    </w:p>
    <w:p w:rsidR="001824B7" w:rsidRPr="001824B7" w:rsidRDefault="001824B7" w:rsidP="001824B7">
      <w:pPr>
        <w:adjustRightInd/>
        <w:snapToGrid/>
        <w:spacing w:after="0"/>
        <w:ind w:firstLine="64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（一）新研制的专用生产设备，已通过科技成果鉴定和安全评价。</w:t>
      </w:r>
    </w:p>
    <w:p w:rsidR="001824B7" w:rsidRPr="001824B7" w:rsidRDefault="001824B7" w:rsidP="001824B7">
      <w:pPr>
        <w:adjustRightInd/>
        <w:snapToGrid/>
        <w:spacing w:after="0"/>
        <w:ind w:firstLine="64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（二）进口的原装专用生产设备，已通过安全评估。</w:t>
      </w:r>
    </w:p>
    <w:p w:rsidR="001824B7" w:rsidRPr="001824B7" w:rsidRDefault="001824B7" w:rsidP="001824B7">
      <w:pPr>
        <w:adjustRightInd/>
        <w:snapToGrid/>
        <w:spacing w:after="0"/>
        <w:ind w:firstLine="64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（三）2007年</w:t>
      </w:r>
      <w:r w:rsidRPr="001824B7">
        <w:rPr>
          <w:rFonts w:ascii="Times New Roman" w:eastAsia="仿宋_GB2312" w:hAnsi="Times New Roman" w:cs="Times New Roman" w:hint="eastAsia"/>
          <w:color w:val="070707"/>
          <w:sz w:val="32"/>
          <w:szCs w:val="32"/>
        </w:rPr>
        <w:t>12</w:t>
      </w:r>
      <w:r w:rsidRPr="001824B7">
        <w:rPr>
          <w:rFonts w:ascii="仿宋_GB2312" w:eastAsia="仿宋_GB2312" w:hAnsi="宋体" w:cs="宋体" w:hint="eastAsia"/>
          <w:color w:val="070707"/>
          <w:sz w:val="32"/>
          <w:szCs w:val="32"/>
        </w:rPr>
        <w:t>月底以前民爆生产企业已在用的本企业自行研制的专用生产设备，已通过安全评价（结论为风险可接受）。</w:t>
      </w:r>
    </w:p>
    <w:p w:rsidR="001824B7" w:rsidRPr="001824B7" w:rsidRDefault="001824B7" w:rsidP="001824B7">
      <w:pPr>
        <w:adjustRightInd/>
        <w:snapToGrid/>
        <w:spacing w:after="0"/>
        <w:ind w:firstLine="64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四、专用生产设备的产品标准、操作规程、使用说明书必须齐全，并能有效地指导设备安装、调试、使用、维护保养（含大、中修和日常维护）和异常情况的应急处置。</w:t>
      </w:r>
    </w:p>
    <w:p w:rsidR="001824B7" w:rsidRPr="001824B7" w:rsidRDefault="001824B7" w:rsidP="001824B7">
      <w:pPr>
        <w:adjustRightInd/>
        <w:snapToGrid/>
        <w:spacing w:after="0" w:line="600" w:lineRule="atLeast"/>
        <w:ind w:right="-512" w:firstLine="64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lastRenderedPageBreak/>
        <w:t>五、开展建设项目设计、安全评价、验收、安全许可现场考核等活动时，各有关单位应对所选用的专用生产设备是否满足相关安全条件和标准进行查验，确保满足安全要求。</w:t>
      </w:r>
    </w:p>
    <w:p w:rsidR="001824B7" w:rsidRPr="001824B7" w:rsidRDefault="001824B7" w:rsidP="001824B7">
      <w:pPr>
        <w:adjustRightInd/>
        <w:snapToGrid/>
        <w:spacing w:after="0"/>
        <w:ind w:firstLine="64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六、民爆生产企业选购专用生产设备，其适用范围必须与自身工艺配方相匹配，要严格按照《民用爆炸物品工程设计安全规范》（GB50089）、《民用爆炸物品生产、销售企业安全管理规程》（</w:t>
      </w:r>
      <w:r w:rsidRPr="001824B7">
        <w:rPr>
          <w:rFonts w:ascii="Times New Roman" w:eastAsia="仿宋_GB2312" w:hAnsi="Times New Roman" w:cs="Times New Roman" w:hint="eastAsia"/>
          <w:color w:val="070707"/>
          <w:sz w:val="32"/>
          <w:szCs w:val="32"/>
        </w:rPr>
        <w:t>GB28263</w:t>
      </w:r>
      <w:r w:rsidRPr="001824B7">
        <w:rPr>
          <w:rFonts w:ascii="仿宋_GB2312" w:eastAsia="仿宋_GB2312" w:hAnsi="宋体" w:cs="宋体" w:hint="eastAsia"/>
          <w:color w:val="070707"/>
          <w:sz w:val="32"/>
          <w:szCs w:val="32"/>
        </w:rPr>
        <w:t>）、《民用爆炸物品专用生产设备安全使用年限管理规定》（WJ 9063）、设备操作规程、使用说明书等要求使用和维护专用生产设备。</w:t>
      </w:r>
    </w:p>
    <w:p w:rsidR="001824B7" w:rsidRPr="001824B7" w:rsidRDefault="001824B7" w:rsidP="001824B7">
      <w:pPr>
        <w:adjustRightInd/>
        <w:snapToGrid/>
        <w:spacing w:after="0" w:line="560" w:lineRule="atLeast"/>
        <w:ind w:firstLine="64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请将本通知转发到辖区内的民爆生产企业、中介机构，以及专用生产设备研发和生产企业、科研单位。</w:t>
      </w:r>
    </w:p>
    <w:p w:rsidR="001824B7" w:rsidRPr="001824B7" w:rsidRDefault="001824B7" w:rsidP="001824B7">
      <w:pPr>
        <w:adjustRightInd/>
        <w:snapToGrid/>
        <w:spacing w:after="0" w:line="560" w:lineRule="atLeast"/>
        <w:ind w:firstLine="64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自本通知发文之日起，原《民用爆炸物品专用生产设备目录管理暂行办法》（工信安函[2012]138号），原《民用爆炸物品专用生产设备目录》即行废止，并停止受理企业关于专用生产设备纳入《目录》的相关申请。</w:t>
      </w:r>
    </w:p>
    <w:p w:rsidR="001824B7" w:rsidRPr="001824B7" w:rsidRDefault="001824B7" w:rsidP="001824B7">
      <w:pPr>
        <w:adjustRightInd/>
        <w:snapToGrid/>
        <w:spacing w:after="0" w:line="700" w:lineRule="atLeast"/>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附件：民用爆炸物品专用生产设备目录</w:t>
      </w:r>
    </w:p>
    <w:p w:rsidR="001824B7" w:rsidRPr="001824B7" w:rsidRDefault="001824B7" w:rsidP="001824B7">
      <w:pPr>
        <w:adjustRightInd/>
        <w:snapToGrid/>
        <w:spacing w:after="0" w:line="700" w:lineRule="atLeast"/>
        <w:jc w:val="right"/>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工业和信息化部办公厅</w:t>
      </w:r>
    </w:p>
    <w:p w:rsidR="001824B7" w:rsidRPr="001824B7" w:rsidRDefault="001824B7" w:rsidP="001824B7">
      <w:pPr>
        <w:adjustRightInd/>
        <w:snapToGrid/>
        <w:spacing w:after="0" w:line="700" w:lineRule="atLeast"/>
        <w:jc w:val="center"/>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t>                                                                                                                                                   </w:t>
      </w:r>
      <w:r w:rsidRPr="001824B7">
        <w:rPr>
          <w:rFonts w:ascii="仿宋_GB2312" w:eastAsia="仿宋_GB2312" w:hAnsi="宋体" w:cs="宋体" w:hint="eastAsia"/>
          <w:color w:val="070707"/>
          <w:sz w:val="32"/>
          <w:szCs w:val="32"/>
        </w:rPr>
        <w:t xml:space="preserve"> 2016年1月20日</w:t>
      </w:r>
    </w:p>
    <w:p w:rsidR="001824B7" w:rsidRPr="001824B7" w:rsidRDefault="001824B7" w:rsidP="001824B7">
      <w:pPr>
        <w:adjustRightInd/>
        <w:snapToGrid/>
        <w:spacing w:after="0"/>
        <w:rPr>
          <w:rFonts w:ascii="宋体" w:eastAsia="宋体" w:hAnsi="宋体" w:cs="宋体" w:hint="eastAsia"/>
          <w:color w:val="070707"/>
          <w:sz w:val="21"/>
          <w:szCs w:val="21"/>
        </w:rPr>
      </w:pPr>
      <w:r w:rsidRPr="001824B7">
        <w:rPr>
          <w:rFonts w:ascii="仿宋_GB2312" w:eastAsia="仿宋_GB2312" w:hAnsi="宋体" w:cs="宋体" w:hint="eastAsia"/>
          <w:color w:val="070707"/>
          <w:sz w:val="32"/>
          <w:szCs w:val="32"/>
        </w:rPr>
        <w:lastRenderedPageBreak/>
        <w:t>附件：</w:t>
      </w:r>
    </w:p>
    <w:p w:rsidR="001824B7" w:rsidRPr="001824B7" w:rsidRDefault="001824B7" w:rsidP="001824B7">
      <w:pPr>
        <w:adjustRightInd/>
        <w:snapToGrid/>
        <w:spacing w:after="0"/>
        <w:jc w:val="center"/>
        <w:rPr>
          <w:rFonts w:ascii="宋体" w:eastAsia="宋体" w:hAnsi="宋体" w:cs="宋体" w:hint="eastAsia"/>
          <w:color w:val="070707"/>
          <w:sz w:val="21"/>
          <w:szCs w:val="21"/>
        </w:rPr>
      </w:pPr>
      <w:r w:rsidRPr="001824B7">
        <w:rPr>
          <w:rFonts w:ascii="仿宋_GB2312" w:eastAsia="仿宋_GB2312" w:hAnsi="宋体" w:cs="宋体" w:hint="eastAsia"/>
          <w:color w:val="070707"/>
          <w:spacing w:val="-20"/>
          <w:sz w:val="32"/>
          <w:szCs w:val="32"/>
        </w:rPr>
        <w:t>民用爆炸物品专用生产设备目录</w:t>
      </w:r>
    </w:p>
    <w:tbl>
      <w:tblPr>
        <w:tblW w:w="8121" w:type="dxa"/>
        <w:jc w:val="center"/>
        <w:tblLook w:val="04A0"/>
      </w:tblPr>
      <w:tblGrid>
        <w:gridCol w:w="440"/>
        <w:gridCol w:w="1849"/>
        <w:gridCol w:w="2784"/>
        <w:gridCol w:w="3048"/>
      </w:tblGrid>
      <w:tr w:rsidR="001824B7" w:rsidRPr="001824B7" w:rsidTr="001824B7">
        <w:trPr>
          <w:jc w:val="center"/>
        </w:trPr>
        <w:tc>
          <w:tcPr>
            <w:tcW w:w="440" w:type="dxa"/>
            <w:tcBorders>
              <w:top w:val="single" w:sz="4" w:space="0" w:color="000000"/>
              <w:left w:val="single" w:sz="4" w:space="0" w:color="000000"/>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b/>
                <w:bCs/>
                <w:color w:val="070707"/>
                <w:spacing w:val="-20"/>
                <w:sz w:val="21"/>
                <w:szCs w:val="21"/>
              </w:rPr>
              <w:t>序号</w:t>
            </w:r>
          </w:p>
        </w:tc>
        <w:tc>
          <w:tcPr>
            <w:tcW w:w="1849" w:type="dxa"/>
            <w:tcBorders>
              <w:top w:val="single" w:sz="4" w:space="0" w:color="000000"/>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b/>
                <w:bCs/>
                <w:color w:val="070707"/>
                <w:sz w:val="21"/>
                <w:szCs w:val="21"/>
              </w:rPr>
              <w:t>分类</w:t>
            </w:r>
          </w:p>
        </w:tc>
        <w:tc>
          <w:tcPr>
            <w:tcW w:w="2784" w:type="dxa"/>
            <w:tcBorders>
              <w:top w:val="single" w:sz="4" w:space="0" w:color="000000"/>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b/>
                <w:bCs/>
                <w:color w:val="070707"/>
                <w:sz w:val="21"/>
                <w:szCs w:val="21"/>
              </w:rPr>
              <w:t>设备名称</w:t>
            </w:r>
          </w:p>
        </w:tc>
        <w:tc>
          <w:tcPr>
            <w:tcW w:w="3048" w:type="dxa"/>
            <w:tcBorders>
              <w:top w:val="single" w:sz="4" w:space="0" w:color="000000"/>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b/>
                <w:bCs/>
                <w:color w:val="070707"/>
                <w:spacing w:val="-20"/>
                <w:sz w:val="21"/>
                <w:szCs w:val="21"/>
              </w:rPr>
              <w:t>备注</w:t>
            </w: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1</w:t>
            </w:r>
          </w:p>
        </w:tc>
        <w:tc>
          <w:tcPr>
            <w:tcW w:w="1849"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胶状乳化炸药</w:t>
            </w: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乳化器</w:t>
            </w:r>
          </w:p>
        </w:tc>
        <w:tc>
          <w:tcPr>
            <w:tcW w:w="3048"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静态乳化器除外</w:t>
            </w: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2</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基质或炸药输送泵</w:t>
            </w:r>
          </w:p>
        </w:tc>
        <w:tc>
          <w:tcPr>
            <w:tcW w:w="3048"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3</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敏化器</w:t>
            </w:r>
          </w:p>
        </w:tc>
        <w:tc>
          <w:tcPr>
            <w:tcW w:w="3048"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静态敏化器除外</w:t>
            </w: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4</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装药机系统</w:t>
            </w:r>
          </w:p>
        </w:tc>
        <w:tc>
          <w:tcPr>
            <w:tcW w:w="3048"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敞开式低速（≤80r/min）单筒活塞罐装式除外</w:t>
            </w: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5</w:t>
            </w:r>
          </w:p>
        </w:tc>
        <w:tc>
          <w:tcPr>
            <w:tcW w:w="1849"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粉状乳化炸药</w:t>
            </w: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乳化器</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6</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基质输送泵</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7</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三流式雾化器</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8</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流化床冷却器</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trHeight w:val="317"/>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9</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装药机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10</w:t>
            </w:r>
          </w:p>
        </w:tc>
        <w:tc>
          <w:tcPr>
            <w:tcW w:w="1849"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膨化硝铵炸药</w:t>
            </w: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膨化结晶机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11</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膨化硝铵粉碎机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12</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三料混药器</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13</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凉药机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trHeight w:val="257"/>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14</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筛药机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15</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炸药输送螺旋</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16</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装药机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17</w:t>
            </w:r>
          </w:p>
        </w:tc>
        <w:tc>
          <w:tcPr>
            <w:tcW w:w="1849"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水胶炸药</w:t>
            </w: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硝酸甲胺反应器</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18</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硝酸甲胺输送泵</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19</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硝酸甲胺贮槽</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20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混合机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21</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炸药输送泵</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22</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装药机系统</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敞开式低速（≤80r/min）单筒活塞罐装式除外</w:t>
            </w:r>
          </w:p>
        </w:tc>
      </w:tr>
      <w:tr w:rsidR="001824B7" w:rsidRPr="001824B7" w:rsidTr="001824B7">
        <w:trPr>
          <w:trHeight w:val="272"/>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23</w:t>
            </w:r>
          </w:p>
        </w:tc>
        <w:tc>
          <w:tcPr>
            <w:tcW w:w="1849"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改性铵油炸药</w:t>
            </w: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混药机</w:t>
            </w:r>
          </w:p>
        </w:tc>
        <w:tc>
          <w:tcPr>
            <w:tcW w:w="3048"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24</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凉药机</w:t>
            </w:r>
          </w:p>
        </w:tc>
        <w:tc>
          <w:tcPr>
            <w:tcW w:w="3048"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25</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筛药机</w:t>
            </w:r>
          </w:p>
        </w:tc>
        <w:tc>
          <w:tcPr>
            <w:tcW w:w="3048"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26</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炸药输送螺旋</w:t>
            </w:r>
          </w:p>
        </w:tc>
        <w:tc>
          <w:tcPr>
            <w:tcW w:w="3048"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27</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装药机</w:t>
            </w:r>
          </w:p>
        </w:tc>
        <w:tc>
          <w:tcPr>
            <w:tcW w:w="3048"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trHeight w:val="272"/>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28</w:t>
            </w:r>
          </w:p>
        </w:tc>
        <w:tc>
          <w:tcPr>
            <w:tcW w:w="1849"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工业雷管</w:t>
            </w: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炸药装药机</w:t>
            </w:r>
          </w:p>
        </w:tc>
        <w:tc>
          <w:tcPr>
            <w:tcW w:w="3048"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抗爆间室或安全防护装置内、人机隔离的设备除外</w:t>
            </w: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29</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起爆药装药机</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30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雷管压合机</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31</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退模机</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32</w:t>
            </w:r>
          </w:p>
        </w:tc>
        <w:tc>
          <w:tcPr>
            <w:tcW w:w="1849"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药剂制备</w:t>
            </w: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化合器</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33</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起爆药混药机</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34</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炸药造粒机（干法）</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35</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炸药筛药机</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36</w:t>
            </w:r>
          </w:p>
        </w:tc>
        <w:tc>
          <w:tcPr>
            <w:tcW w:w="1849"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ind w:firstLine="42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延期药（体）</w:t>
            </w: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ind w:firstLine="42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高氯酸盐球磨机</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37</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混药球磨机（于法）</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38</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ind w:firstLine="42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造粒机</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39</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ind w:firstLine="42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筛药机</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40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ind w:firstLine="42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装药机</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41</w:t>
            </w:r>
          </w:p>
        </w:tc>
        <w:tc>
          <w:tcPr>
            <w:tcW w:w="1849"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导爆索</w:t>
            </w: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造粒机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42</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筛药机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lastRenderedPageBreak/>
              <w:t>43</w:t>
            </w:r>
          </w:p>
        </w:tc>
        <w:tc>
          <w:tcPr>
            <w:tcW w:w="1849"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导爆管</w:t>
            </w: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粉碎机（球磨机）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44</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筛药机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45</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混合机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46</w:t>
            </w:r>
          </w:p>
        </w:tc>
        <w:tc>
          <w:tcPr>
            <w:tcW w:w="1849"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震源药柱</w:t>
            </w: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塑化机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47</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装药机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48</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封口机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49</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TNT球磨机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50</w:t>
            </w:r>
          </w:p>
        </w:tc>
        <w:tc>
          <w:tcPr>
            <w:tcW w:w="1849"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起爆具</w:t>
            </w: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熔化机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51</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混合机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52</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装药机</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53</w:t>
            </w:r>
          </w:p>
        </w:tc>
        <w:tc>
          <w:tcPr>
            <w:tcW w:w="1849" w:type="dxa"/>
            <w:vMerge w:val="restart"/>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工业炸药移动式现场混装制备</w:t>
            </w:r>
            <w:r w:rsidRPr="001824B7">
              <w:rPr>
                <w:rFonts w:ascii="仿宋_GB2312" w:eastAsia="仿宋_GB2312" w:hAnsi="宋体" w:cs="宋体" w:hint="eastAsia"/>
                <w:color w:val="070707"/>
                <w:sz w:val="21"/>
                <w:szCs w:val="21"/>
              </w:rPr>
              <w:t>  </w:t>
            </w:r>
            <w:r w:rsidRPr="001824B7">
              <w:rPr>
                <w:rFonts w:ascii="仿宋_GB2312" w:eastAsia="仿宋_GB2312" w:hAnsi="宋体" w:cs="宋体" w:hint="eastAsia"/>
                <w:color w:val="070707"/>
                <w:sz w:val="21"/>
                <w:szCs w:val="21"/>
              </w:rPr>
              <w:t>系统</w:t>
            </w: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 w:eastAsia="仿宋" w:hAnsi="仿宋" w:cs="宋体" w:hint="eastAsia"/>
                <w:color w:val="070707"/>
                <w:sz w:val="21"/>
              </w:rPr>
              <w:t>现场混装乳化炸药车</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54</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现场混装重铵油炸药车</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55</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现场混装粒状铵油炸药车</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56</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乳化炸药移动式地面站</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r w:rsidR="001824B7" w:rsidRPr="001824B7" w:rsidTr="001824B7">
        <w:trPr>
          <w:jc w:val="center"/>
        </w:trPr>
        <w:tc>
          <w:tcPr>
            <w:tcW w:w="440" w:type="dxa"/>
            <w:tcBorders>
              <w:top w:val="nil"/>
              <w:left w:val="single" w:sz="4" w:space="0" w:color="000000"/>
              <w:bottom w:val="single" w:sz="4" w:space="0" w:color="000000"/>
              <w:right w:val="single" w:sz="4" w:space="0" w:color="000000"/>
            </w:tcBorders>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pacing w:val="-20"/>
                <w:sz w:val="21"/>
                <w:szCs w:val="21"/>
              </w:rPr>
              <w:t>57</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1824B7" w:rsidRPr="001824B7" w:rsidRDefault="001824B7" w:rsidP="001824B7">
            <w:pPr>
              <w:adjustRightInd/>
              <w:snapToGrid/>
              <w:spacing w:after="0"/>
              <w:rPr>
                <w:rFonts w:ascii="宋体" w:eastAsia="宋体" w:hAnsi="宋体" w:cs="宋体"/>
                <w:color w:val="070707"/>
                <w:sz w:val="21"/>
                <w:szCs w:val="21"/>
              </w:rPr>
            </w:pPr>
          </w:p>
        </w:tc>
        <w:tc>
          <w:tcPr>
            <w:tcW w:w="2784" w:type="dxa"/>
            <w:tcBorders>
              <w:top w:val="nil"/>
              <w:left w:val="nil"/>
              <w:bottom w:val="single" w:sz="4" w:space="0" w:color="000000"/>
              <w:right w:val="single" w:sz="4" w:space="0" w:color="000000"/>
            </w:tcBorders>
            <w:vAlign w:val="center"/>
            <w:hideMark/>
          </w:tcPr>
          <w:p w:rsidR="001824B7" w:rsidRPr="001824B7" w:rsidRDefault="001824B7" w:rsidP="001824B7">
            <w:pPr>
              <w:adjustRightInd/>
              <w:snapToGrid/>
              <w:spacing w:after="0"/>
              <w:jc w:val="center"/>
              <w:rPr>
                <w:rFonts w:ascii="宋体" w:eastAsia="宋体" w:hAnsi="宋体" w:cs="宋体"/>
                <w:color w:val="070707"/>
                <w:sz w:val="21"/>
                <w:szCs w:val="21"/>
              </w:rPr>
            </w:pPr>
            <w:r w:rsidRPr="001824B7">
              <w:rPr>
                <w:rFonts w:ascii="仿宋_GB2312" w:eastAsia="仿宋_GB2312" w:hAnsi="宋体" w:cs="宋体" w:hint="eastAsia"/>
                <w:color w:val="070707"/>
                <w:sz w:val="21"/>
                <w:szCs w:val="21"/>
              </w:rPr>
              <w:t>现场混装设备</w:t>
            </w:r>
          </w:p>
        </w:tc>
        <w:tc>
          <w:tcPr>
            <w:tcW w:w="3048" w:type="dxa"/>
            <w:tcBorders>
              <w:top w:val="nil"/>
              <w:left w:val="nil"/>
              <w:bottom w:val="single" w:sz="4" w:space="0" w:color="000000"/>
              <w:right w:val="single" w:sz="4" w:space="0" w:color="000000"/>
            </w:tcBorders>
            <w:hideMark/>
          </w:tcPr>
          <w:p w:rsidR="001824B7" w:rsidRPr="001824B7" w:rsidRDefault="001824B7" w:rsidP="001824B7">
            <w:pPr>
              <w:adjustRightInd/>
              <w:snapToGrid/>
              <w:spacing w:after="0"/>
              <w:rPr>
                <w:rFonts w:ascii="宋体" w:eastAsia="宋体" w:hAnsi="宋体" w:cs="宋体"/>
                <w:color w:val="070707"/>
                <w:sz w:val="21"/>
                <w:szCs w:val="21"/>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824B7"/>
    <w:rsid w:val="001906BA"/>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1824B7"/>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1824B7"/>
    <w:pPr>
      <w:adjustRightInd/>
      <w:snapToGrid/>
      <w:spacing w:before="100" w:beforeAutospacing="1" w:after="100" w:afterAutospacing="1"/>
    </w:pPr>
    <w:rPr>
      <w:rFonts w:ascii="宋体" w:eastAsia="宋体" w:hAnsi="宋体" w:cs="宋体"/>
      <w:sz w:val="24"/>
      <w:szCs w:val="24"/>
    </w:rPr>
  </w:style>
  <w:style w:type="character" w:customStyle="1" w:styleId="15">
    <w:name w:val="15"/>
    <w:basedOn w:val="a0"/>
    <w:rsid w:val="001824B7"/>
  </w:style>
  <w:style w:type="character" w:customStyle="1" w:styleId="1Char">
    <w:name w:val="标题 1 Char"/>
    <w:basedOn w:val="a0"/>
    <w:link w:val="1"/>
    <w:uiPriority w:val="9"/>
    <w:rsid w:val="001824B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63306237">
      <w:bodyDiv w:val="1"/>
      <w:marLeft w:val="0"/>
      <w:marRight w:val="0"/>
      <w:marTop w:val="0"/>
      <w:marBottom w:val="0"/>
      <w:divBdr>
        <w:top w:val="none" w:sz="0" w:space="0" w:color="auto"/>
        <w:left w:val="none" w:sz="0" w:space="0" w:color="auto"/>
        <w:bottom w:val="none" w:sz="0" w:space="0" w:color="auto"/>
        <w:right w:val="none" w:sz="0" w:space="0" w:color="auto"/>
      </w:divBdr>
    </w:div>
    <w:div w:id="10278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2020-03-17T03:15:00Z</dcterms:created>
  <dcterms:modified xsi:type="dcterms:W3CDTF">2020-03-17T03:15:00Z</dcterms:modified>
</cp:coreProperties>
</file>